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numPr>
          <w:ilvl w:val="0"/>
          <w:numId w:val="1"/>
        </w:numPr>
        <w:shd w:fill="ffffff" w:val="clear"/>
        <w:spacing w:after="200" w:before="120" w:lineRule="auto"/>
        <w:ind w:left="72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candidate must be a member of a chapter in good standing and meet all requirements of membership in that chapter. Additionally, the candidate’s chapter advisor must provide a statement to the Regional Coordinator verifying that the candidate is in good standing at the chapter.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after="24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candidates will submit a candidate statement to the Regional Coordinator, either written or video, which will be posted on the region’s website.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Candidates and their supporters are prohibited from posting campaign messages on social media accounts at any time (eg: Facebook, X, Instagram, YouTube, TikTok, LinkedIn, Discord).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Candidates are prohibited from sending mailings/emails/messages to PTK constituents regarding their campaign.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hd w:fill="ffffff" w:val="clear"/>
        <w:spacing w:after="200" w:before="120" w:lineRule="auto"/>
        <w:ind w:left="72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Candidates may not be a voting delegate unless they are the only representative from their chapter attending the Regional Convention.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hd w:fill="ffffff" w:val="clear"/>
        <w:spacing w:after="200" w:before="120" w:lineRule="auto"/>
        <w:ind w:left="72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Candidates must be present at the convention in order to participate in the election process and are required to meet with chapter members and/or voting delegates in a caucus prior to the election to explain their qualifications and to answer questions from the delegates.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24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Candidates will deliver a 3 minute academic speech based on the current Honors Study Topic during the spring regional convention.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hd w:fill="ffffff" w:val="clear"/>
        <w:spacing w:after="200" w:before="120" w:lineRule="auto"/>
        <w:ind w:left="72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Newly elected Regional Officers must currently be attending an accredited two-year community, junior, vocational, or technical college and be enrolled in at least 3 units/credits/hours throughout their term in office.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hd w:fill="ffffff" w:val="clear"/>
        <w:spacing w:after="200" w:before="120" w:lineRule="auto"/>
        <w:ind w:left="72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Candidates must sign and adhere to the Honor Code for Regional Officers as adopted by the Phi Theta Kappa Board of Directors in October 1998.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hd w:fill="ffffff" w:val="clear"/>
        <w:spacing w:after="200" w:before="120" w:lineRule="auto"/>
        <w:ind w:left="72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Officers may serve no more than two terms on the Executive Board. An officer who seeks a second term must run for an office different from the one the officer previously held.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4"/>
        <w:szCs w:val="24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WkCR7hcj7sOscHmAx5LwqUgJ8Q==">CgMxLjA4AHIhMWNOMThWcXcxRTRwTC1xLU45Ymh1NDNMak1waWF3Mmd0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2024-01-27T14:19:00Z</dcterms:created>
  <dc:creator>Myriam Moody</dc:creator>
</cp:coreProperties>
</file>